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CAF3" w14:textId="5068E508" w:rsidR="00F31D38" w:rsidRPr="00666BD7" w:rsidRDefault="00F31D38" w:rsidP="00F31D38">
      <w:pPr>
        <w:rPr>
          <w:b/>
        </w:rPr>
      </w:pPr>
      <w:r>
        <w:rPr>
          <w:b/>
        </w:rPr>
        <w:t xml:space="preserve">Zalecenia dotyczące ryzyka związanego z aktywnością dla mieszkańców wyspy znajdujących się w grupie wysokiego i umiarkowanego ryzyka w odniesieniu do COVID-19</w:t>
      </w:r>
    </w:p>
    <w:p w14:paraId="72102EF5" w14:textId="1B07F69F" w:rsidR="00431819" w:rsidRPr="00C6261A" w:rsidRDefault="00F31D38">
      <w:r>
        <w:t xml:space="preserve">Niniejsze zalecenia stworzono w ramach pomocy dla mieszkańców wyspy, którzy znajdują się w grupie wysokiego (głęboko podatni) i umiarkowanego ryzyka (podatni) do wykorzystania podczas podejmowania decyzji i bilansowania ryzyka odnoszącego się do aktywności, w których osoby te biorą udział.</w:t>
      </w:r>
      <w:r>
        <w:br/>
      </w:r>
      <w:r>
        <w:br/>
      </w:r>
      <w:r>
        <w:t xml:space="preserve">Tabela 1.</w:t>
      </w:r>
      <w:r>
        <w:t xml:space="preserve"> </w:t>
      </w:r>
      <w:r>
        <w:t xml:space="preserve">Poniższa tabela prezentuje zasady, które określają, czy dana aktywność jest bardziej czy mniej ryzykowna.</w:t>
      </w:r>
      <w:r>
        <w:t xml:space="preserve"> </w:t>
      </w:r>
      <w:r>
        <w:t xml:space="preserve">Zasady te odnoszą się do dzieci i młodych osób, które znajdują się w grupie wysokiego ryzyka.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727936" w:rsidRPr="00C6261A" w14:paraId="09C09AEB" w14:textId="77777777" w:rsidTr="00085A9B">
        <w:trPr>
          <w:trHeight w:val="270"/>
        </w:trPr>
        <w:tc>
          <w:tcPr>
            <w:tcW w:w="4531" w:type="dxa"/>
          </w:tcPr>
          <w:p w14:paraId="314E6CC9" w14:textId="77777777" w:rsidR="00727936" w:rsidRPr="00C6261A" w:rsidRDefault="00727936" w:rsidP="00085A9B">
            <w:pPr>
              <w:rPr>
                <w:b/>
              </w:rPr>
            </w:pPr>
            <w:r>
              <w:rPr>
                <w:b/>
              </w:rPr>
              <w:t xml:space="preserve">Aktywność o wysokim ryzyku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14:paraId="28B02D25" w14:textId="77777777" w:rsidR="00727936" w:rsidRPr="00C6261A" w:rsidRDefault="00727936" w:rsidP="00085A9B">
            <w:pPr>
              <w:rPr>
                <w:b/>
              </w:rPr>
            </w:pPr>
            <w:r>
              <w:rPr>
                <w:b/>
              </w:rPr>
              <w:t xml:space="preserve">Aktywność o niskim ryzyku</w:t>
            </w:r>
            <w:r>
              <w:rPr>
                <w:b/>
              </w:rPr>
              <w:t xml:space="preserve"> </w:t>
            </w:r>
          </w:p>
        </w:tc>
      </w:tr>
      <w:tr w:rsidR="00727936" w:rsidRPr="00C6261A" w14:paraId="3C3D534D" w14:textId="77777777" w:rsidTr="00085A9B">
        <w:trPr>
          <w:trHeight w:val="270"/>
        </w:trPr>
        <w:tc>
          <w:tcPr>
            <w:tcW w:w="4531" w:type="dxa"/>
          </w:tcPr>
          <w:p w14:paraId="3D03DEDF" w14:textId="77777777" w:rsidR="00727936" w:rsidRPr="00C6261A" w:rsidRDefault="00727936" w:rsidP="00085A9B">
            <w:r>
              <w:t xml:space="preserve">Aktywności z osobami, które nie mieszkają razem z Tobą są bardziej ryzykowne.</w:t>
            </w:r>
            <w:r>
              <w:t xml:space="preserve"> </w:t>
            </w:r>
            <w:r>
              <w:t xml:space="preserve">Im większa liczba innych osób, z którymi się spotykasz i spędzasz czas, tym wyższe ryzyko.</w:t>
            </w:r>
          </w:p>
        </w:tc>
        <w:tc>
          <w:tcPr>
            <w:tcW w:w="4678" w:type="dxa"/>
          </w:tcPr>
          <w:p w14:paraId="5889DF03" w14:textId="031AA02F" w:rsidR="00727936" w:rsidRPr="00C6261A" w:rsidRDefault="00727936" w:rsidP="00085A9B">
            <w:r>
              <w:t xml:space="preserve">Aktywności realizowane indywidualnie lub z osobami, z którymi mieszkasz są mniej ryzykowne.</w:t>
            </w:r>
            <w:r>
              <w:t xml:space="preserve"> </w:t>
            </w:r>
            <w:r>
              <w:t xml:space="preserve">Jeśli zamierzasz spędzić czas z osobami, z którymi nie mieszkasz, im mniej będzie tych osób, tym niższe będzie ryzyko.</w:t>
            </w:r>
          </w:p>
        </w:tc>
      </w:tr>
      <w:tr w:rsidR="00727936" w:rsidRPr="00C6261A" w14:paraId="701D3E01" w14:textId="77777777" w:rsidTr="00085A9B">
        <w:trPr>
          <w:trHeight w:val="809"/>
        </w:trPr>
        <w:tc>
          <w:tcPr>
            <w:tcW w:w="4531" w:type="dxa"/>
          </w:tcPr>
          <w:p w14:paraId="17B18951" w14:textId="226C4E41" w:rsidR="00727936" w:rsidRDefault="00727936" w:rsidP="00085A9B">
            <w:r>
              <w:t xml:space="preserve">Aktywności, podczas których nie jest możliwe zachowanie zalecanego dystansu fizycznego są bardziej ryzykowne.</w:t>
            </w:r>
          </w:p>
          <w:p w14:paraId="10EDA1D3" w14:textId="77777777" w:rsidR="00727936" w:rsidRDefault="00727936" w:rsidP="00085A9B"/>
          <w:p w14:paraId="0765D460" w14:textId="430AB943" w:rsidR="00727936" w:rsidRDefault="00727936" w:rsidP="00085A9B">
            <w:r>
              <w:t xml:space="preserve">Ryzyko to staje się jeszcze większe, jeśli czas, podczas którego nie jest zachowany dystans fizyczny, jest dłuższy niż 15 minut.</w:t>
            </w:r>
          </w:p>
          <w:p w14:paraId="68912D9B" w14:textId="77777777" w:rsidR="00727936" w:rsidRPr="00C6261A" w:rsidRDefault="00727936" w:rsidP="00085A9B"/>
        </w:tc>
        <w:tc>
          <w:tcPr>
            <w:tcW w:w="4678" w:type="dxa"/>
          </w:tcPr>
          <w:p w14:paraId="248F7F22" w14:textId="54E311EC" w:rsidR="00727936" w:rsidRDefault="00727936" w:rsidP="00085A9B">
            <w:r>
              <w:t xml:space="preserve">Aktywności, podczas których możliwe jest zachowanie zalecenia dystansu fizycznego są mniej ryzykowne.</w:t>
            </w:r>
            <w:r>
              <w:t xml:space="preserve"> </w:t>
            </w:r>
          </w:p>
          <w:p w14:paraId="300CFD71" w14:textId="77777777" w:rsidR="00727936" w:rsidRDefault="00727936" w:rsidP="00085A9B"/>
          <w:p w14:paraId="7D639377" w14:textId="49225537" w:rsidR="00727936" w:rsidRPr="00C6261A" w:rsidRDefault="00727936" w:rsidP="00085A9B">
            <w:r>
              <w:t xml:space="preserve">Jeśli nie możesz zachować dystansu fizycznego, ryzyko jest mniejsze, jeśli czas, podczas którego nie jest zachowany dystans fizyczny, jest krótszy niż 15 minut.</w:t>
            </w:r>
          </w:p>
        </w:tc>
      </w:tr>
      <w:tr w:rsidR="00727936" w:rsidRPr="00C6261A" w14:paraId="125B62F6" w14:textId="77777777" w:rsidTr="00085A9B">
        <w:trPr>
          <w:trHeight w:val="809"/>
        </w:trPr>
        <w:tc>
          <w:tcPr>
            <w:tcW w:w="4531" w:type="dxa"/>
          </w:tcPr>
          <w:p w14:paraId="2CE09D48" w14:textId="452C009D" w:rsidR="00727936" w:rsidRPr="00C6261A" w:rsidRDefault="00727936" w:rsidP="00085A9B">
            <w:r>
              <w:t xml:space="preserve">Nienoszenie maski na twarz zwiększa ryzyko, w szczególności jeśli nie możesz zachować dystansu fizycznego.</w:t>
            </w:r>
            <w:r>
              <w:t xml:space="preserve"> </w:t>
            </w:r>
          </w:p>
        </w:tc>
        <w:tc>
          <w:tcPr>
            <w:tcW w:w="4678" w:type="dxa"/>
          </w:tcPr>
          <w:p w14:paraId="3FFEA2CE" w14:textId="44205483" w:rsidR="00727936" w:rsidRPr="00C6261A" w:rsidRDefault="00727936" w:rsidP="00085A9B">
            <w:r>
              <w:t xml:space="preserve">Noszenie maski na twarz zmniejsza ryzyko, w szczególności jeśli nie możesz zachować dystansu fizycznego.</w:t>
            </w:r>
          </w:p>
          <w:p w14:paraId="26B895E6" w14:textId="77777777" w:rsidR="00727936" w:rsidRPr="00C6261A" w:rsidRDefault="00727936" w:rsidP="00085A9B"/>
        </w:tc>
      </w:tr>
      <w:tr w:rsidR="00727936" w:rsidRPr="00C6261A" w14:paraId="012BD5CF" w14:textId="77777777" w:rsidTr="00085A9B">
        <w:trPr>
          <w:trHeight w:val="270"/>
        </w:trPr>
        <w:tc>
          <w:tcPr>
            <w:tcW w:w="4531" w:type="dxa"/>
          </w:tcPr>
          <w:p w14:paraId="56F03901" w14:textId="77777777" w:rsidR="00727936" w:rsidRPr="00C6261A" w:rsidRDefault="00727936" w:rsidP="00085A9B">
            <w:r>
              <w:t xml:space="preserve">Aktywności wewnątrz pomieszczeń są bardziej ryzykowne.</w:t>
            </w:r>
            <w:r>
              <w:t xml:space="preserve"> </w:t>
            </w:r>
          </w:p>
        </w:tc>
        <w:tc>
          <w:tcPr>
            <w:tcW w:w="4678" w:type="dxa"/>
          </w:tcPr>
          <w:p w14:paraId="58C7B9B2" w14:textId="77777777" w:rsidR="00727936" w:rsidRPr="00C6261A" w:rsidRDefault="00727936" w:rsidP="00085A9B">
            <w:r>
              <w:t xml:space="preserve">Aktywności na zewnątrz pomieszczeń są mniej ryzykowne.</w:t>
            </w:r>
          </w:p>
        </w:tc>
      </w:tr>
      <w:tr w:rsidR="00727936" w:rsidRPr="00C6261A" w14:paraId="2379AFCB" w14:textId="77777777" w:rsidTr="00085A9B">
        <w:trPr>
          <w:trHeight w:val="270"/>
        </w:trPr>
        <w:tc>
          <w:tcPr>
            <w:tcW w:w="4531" w:type="dxa"/>
          </w:tcPr>
          <w:p w14:paraId="09B60825" w14:textId="29B88AD8" w:rsidR="00727936" w:rsidRPr="00C6261A" w:rsidRDefault="00727936" w:rsidP="00085A9B">
            <w:r>
              <w:t xml:space="preserve">Aktywności związane ze zwiększoną produkcją wydychanych kropelek, takie jak śpiewanie, krzyczenie czy kaszlenie są bardziej ryzykowne, jeśli mają miejsce w grupie osób.</w:t>
            </w:r>
          </w:p>
        </w:tc>
        <w:tc>
          <w:tcPr>
            <w:tcW w:w="4678" w:type="dxa"/>
          </w:tcPr>
          <w:p w14:paraId="276331C9" w14:textId="174D13AE" w:rsidR="00727936" w:rsidRPr="00C6261A" w:rsidRDefault="00727936" w:rsidP="00085A9B">
            <w:r>
              <w:t xml:space="preserve">Aktywności związane z mniejszą produkcją wydychanych kropelek, takie jak normalnie mówienie, są mniej ryzykowne.</w:t>
            </w:r>
          </w:p>
        </w:tc>
      </w:tr>
      <w:tr w:rsidR="00727936" w:rsidRPr="00C6261A" w14:paraId="3049B9BC" w14:textId="77777777" w:rsidTr="00085A9B">
        <w:trPr>
          <w:trHeight w:val="270"/>
        </w:trPr>
        <w:tc>
          <w:tcPr>
            <w:tcW w:w="4531" w:type="dxa"/>
          </w:tcPr>
          <w:p w14:paraId="0E59D0AF" w14:textId="02F8BB1A" w:rsidR="00727936" w:rsidRDefault="00727936" w:rsidP="00085A9B">
            <w:r>
              <w:t xml:space="preserve">Aktywności, w których konieczne jest dotykanie powierzchni lub przedmiotów, których dotykały także osoby, z którymi nie mieszkasz są bardziej ryzykowne.</w:t>
            </w:r>
            <w:r>
              <w:br/>
            </w:r>
          </w:p>
          <w:p w14:paraId="26A781CF" w14:textId="77777777" w:rsidR="00727936" w:rsidRPr="00C6261A" w:rsidRDefault="00727936" w:rsidP="00085A9B">
            <w:r>
              <w:t xml:space="preserve">Ryzyko jest mniejsze, jeśli postępujesz zgodnie z zaleceniami dotyczącymi higieny rąk, takimi jak częste mycie rąk wodą z mydłem przez 20 sekund czy używanie środków do dezynfekcji rąk.</w:t>
            </w:r>
            <w:r>
              <w:t xml:space="preserve"> </w:t>
            </w:r>
          </w:p>
        </w:tc>
        <w:tc>
          <w:tcPr>
            <w:tcW w:w="4678" w:type="dxa"/>
          </w:tcPr>
          <w:p w14:paraId="032BB530" w14:textId="03B18856" w:rsidR="00727936" w:rsidRDefault="00727936" w:rsidP="00085A9B">
            <w:r>
              <w:t xml:space="preserve">Aktywności, w których nie jest konieczne dotykanie powierzchni lub przedmiotów, których dotykały także osoby, z którymi nie mieszkasz, są mniej ryzykowne.</w:t>
            </w:r>
            <w:r>
              <w:br/>
            </w:r>
          </w:p>
          <w:p w14:paraId="3ED29923" w14:textId="50DF5ED3" w:rsidR="00727936" w:rsidRPr="00C6261A" w:rsidRDefault="00727936" w:rsidP="00085A9B">
            <w:r>
              <w:t xml:space="preserve">Postępowanie zgodnie z zaleceniami dotyczącymi higieny rąk, takimi jak częste mycie rąk wodą z mydłem przez 20 sekund czy używanie środków do dezynfekcji rąk, jeszcze bardziej obniża ryzyko.</w:t>
            </w:r>
          </w:p>
        </w:tc>
      </w:tr>
    </w:tbl>
    <w:p w14:paraId="37DF74DC" w14:textId="77777777" w:rsidR="00F056CC" w:rsidRPr="00C6261A" w:rsidRDefault="00F056CC" w:rsidP="00530224"/>
    <w:p w14:paraId="1292DB25" w14:textId="77777777" w:rsidR="00787E0C" w:rsidRPr="00C6261A" w:rsidRDefault="00787E0C" w:rsidP="00530224">
      <w:pPr>
        <w:rPr>
          <w:b/>
        </w:rPr>
      </w:pPr>
    </w:p>
    <w:p w14:paraId="26EDE17A" w14:textId="2FB0497F" w:rsidR="009C7596" w:rsidRDefault="009C7596" w:rsidP="00530224">
      <w:pPr>
        <w:rPr>
          <w:b/>
        </w:rPr>
      </w:pPr>
    </w:p>
    <w:p w14:paraId="11DAEA1C" w14:textId="77777777" w:rsidR="00F31D38" w:rsidRDefault="00F31D38" w:rsidP="00530224">
      <w:pPr>
        <w:rPr>
          <w:b/>
        </w:rPr>
        <w:sectPr w:rsidR="00F31D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99FC81" w14:textId="5397CE36" w:rsidR="009C7596" w:rsidRPr="00C6261A" w:rsidRDefault="00392AA2" w:rsidP="00530224">
      <w:r>
        <w:t xml:space="preserve">Tabela 2:</w:t>
      </w:r>
      <w:r>
        <w:t xml:space="preserve"> </w:t>
      </w:r>
      <w:r>
        <w:t xml:space="preserve">Poniższa tabela przedstawia zalecenia dla różnych aktywności dla mieszkańców wyspy znajdujących się w grupie wysokiego i umiarkowanego ryzyka.</w:t>
      </w:r>
      <w:r>
        <w:t xml:space="preserve"> </w:t>
      </w:r>
    </w:p>
    <w:tbl>
      <w:tblPr>
        <w:tblStyle w:val="TableGrid"/>
        <w:tblpPr w:leftFromText="180" w:rightFromText="180" w:vertAnchor="text" w:horzAnchor="margin" w:tblpY="10"/>
        <w:tblW w:w="13887" w:type="dxa"/>
        <w:tblLook w:val="04A0" w:firstRow="1" w:lastRow="0" w:firstColumn="1" w:lastColumn="0" w:noHBand="0" w:noVBand="1"/>
      </w:tblPr>
      <w:tblGrid>
        <w:gridCol w:w="1833"/>
        <w:gridCol w:w="5817"/>
        <w:gridCol w:w="6237"/>
      </w:tblGrid>
      <w:tr w:rsidR="00333AF7" w:rsidRPr="00C6261A" w14:paraId="3B639A46" w14:textId="77777777" w:rsidTr="000461EE">
        <w:trPr>
          <w:trHeight w:val="487"/>
        </w:trPr>
        <w:tc>
          <w:tcPr>
            <w:tcW w:w="1833" w:type="dxa"/>
          </w:tcPr>
          <w:p w14:paraId="0D78E3C4" w14:textId="77777777" w:rsidR="00333AF7" w:rsidRPr="00C6261A" w:rsidRDefault="00333AF7" w:rsidP="00F056CC"/>
        </w:tc>
        <w:tc>
          <w:tcPr>
            <w:tcW w:w="5817" w:type="dxa"/>
          </w:tcPr>
          <w:p w14:paraId="71C69644" w14:textId="72C892CD" w:rsidR="00333AF7" w:rsidRPr="000030EB" w:rsidRDefault="0030791E" w:rsidP="00F056CC">
            <w:pPr>
              <w:rPr>
                <w:b/>
              </w:rPr>
            </w:pPr>
            <w:r>
              <w:rPr>
                <w:b/>
              </w:rPr>
              <w:t xml:space="preserve">Mieszkańcy wyspy z grupy wysokiego ryzyka</w:t>
            </w:r>
            <w:r>
              <w:rPr>
                <w:b/>
              </w:rPr>
              <w:t xml:space="preserve"> </w:t>
            </w:r>
          </w:p>
        </w:tc>
        <w:tc>
          <w:tcPr>
            <w:tcW w:w="6237" w:type="dxa"/>
          </w:tcPr>
          <w:p w14:paraId="6A7F9427" w14:textId="7991B5F0" w:rsidR="00333AF7" w:rsidRPr="000030EB" w:rsidRDefault="0030791E" w:rsidP="00F056CC">
            <w:pPr>
              <w:rPr>
                <w:b/>
              </w:rPr>
            </w:pPr>
            <w:r>
              <w:rPr>
                <w:b/>
              </w:rPr>
              <w:t xml:space="preserve">Mieszkańcy wyspy z grupy umiarkowanego ryzyka</w:t>
            </w:r>
            <w:r>
              <w:rPr>
                <w:b/>
              </w:rPr>
              <w:t xml:space="preserve"> </w:t>
            </w:r>
          </w:p>
        </w:tc>
      </w:tr>
      <w:tr w:rsidR="009C7596" w:rsidRPr="00C6261A" w14:paraId="5443334A" w14:textId="77777777" w:rsidTr="000461EE">
        <w:trPr>
          <w:trHeight w:val="487"/>
        </w:trPr>
        <w:tc>
          <w:tcPr>
            <w:tcW w:w="1833" w:type="dxa"/>
          </w:tcPr>
          <w:p w14:paraId="77223DCD" w14:textId="77777777" w:rsidR="009C7596" w:rsidRPr="000030EB" w:rsidRDefault="009C7596" w:rsidP="009C7596">
            <w:pPr>
              <w:rPr>
                <w:b/>
              </w:rPr>
            </w:pPr>
            <w:r>
              <w:rPr>
                <w:b/>
              </w:rPr>
              <w:t xml:space="preserve">Edukacja i dzieci</w:t>
            </w:r>
          </w:p>
        </w:tc>
        <w:tc>
          <w:tcPr>
            <w:tcW w:w="5817" w:type="dxa"/>
          </w:tcPr>
          <w:p w14:paraId="77A9E186" w14:textId="4D473B22" w:rsidR="009C7596" w:rsidRPr="00C6261A" w:rsidRDefault="009C7596" w:rsidP="009C7596">
            <w:pPr>
              <w:rPr>
                <w:bCs/>
              </w:rPr>
            </w:pPr>
            <w:r>
              <w:t xml:space="preserve">Dzieci i młode osoby, które znajdują się w grupie wysokiego ryzyka, </w:t>
            </w:r>
            <w:r>
              <w:rPr>
                <w:bCs/>
                <w:u w:val="single"/>
              </w:rPr>
              <w:t xml:space="preserve">nie powinny </w:t>
            </w:r>
            <w:r>
              <w:t xml:space="preserve">chodzić do szkoły.</w:t>
            </w:r>
            <w:r>
              <w:t xml:space="preserve"> </w:t>
            </w:r>
            <w:r>
              <w:t xml:space="preserve">Jeśli rodzice uważają, że nie leży to w najlepszym interesie dziecka, zaleca się im skontaktowanie z lekarzem specjalistą dziecka w celu omówienia sytuacji.</w:t>
            </w:r>
            <w:r>
              <w:t xml:space="preserve"> </w:t>
            </w:r>
            <w:r>
              <w:t xml:space="preserve">Jeśli po rozmowie podejmą decyzję, że poziom ryzyka oznacza, że dzieci wyniosą więcej korzyści z powrotu do szkoły niż pozostawania w domu, zaleca się, aby tak właśnie postąpić, jednocześnie zachowując ściśle dystans fizyczny i postępując zgodnie z innymi</w:t>
            </w:r>
            <w:r>
              <w:rPr>
                <w:rStyle w:val="Hyperlink"/>
              </w:rPr>
              <w:t xml:space="preserve"> informacjami </w:t>
            </w:r>
            <w:hyperlink r:id="rId5" w:history="1">
              <w:r>
                <w:rPr>
                  <w:rStyle w:val="Hyperlink"/>
                </w:rPr>
                <w:t xml:space="preserve">i wskazówkami służby zdrowia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Style w:val="Hyperlink"/>
                <w:color w:val="000000" w:themeColor="text1"/>
                <w:u w:val="none"/>
              </w:rPr>
              <w:t xml:space="preserve">w przypadkach, gdy dzieci są w stanie je zrozumieć i stosować</w:t>
            </w:r>
            <w:r>
              <w:t xml:space="preserve">.</w:t>
            </w:r>
          </w:p>
          <w:p w14:paraId="4B3DBBDA" w14:textId="77777777" w:rsidR="009C7596" w:rsidRPr="00C6261A" w:rsidRDefault="009C7596" w:rsidP="009C7596"/>
        </w:tc>
        <w:tc>
          <w:tcPr>
            <w:tcW w:w="6237" w:type="dxa"/>
          </w:tcPr>
          <w:p w14:paraId="1A5C82DF" w14:textId="5C44F402" w:rsidR="009C7596" w:rsidRPr="00C6261A" w:rsidRDefault="009C7596" w:rsidP="009C7596">
            <w:pPr>
              <w:rPr>
                <w:bCs/>
              </w:rPr>
            </w:pPr>
            <w:r>
              <w:t xml:space="preserve">Dzieci i młode osoby, które znajdują się w grupie umiarkowanego ryzyka, </w:t>
            </w:r>
            <w:r>
              <w:rPr>
                <w:bCs/>
                <w:u w:val="single"/>
              </w:rPr>
              <w:t xml:space="preserve">zachęca się </w:t>
            </w:r>
            <w:r>
              <w:t xml:space="preserve">do powrotu do szkoły.</w:t>
            </w:r>
            <w:r>
              <w:t xml:space="preserve"> </w:t>
            </w:r>
            <w:r>
              <w:t xml:space="preserve">Prawdopodobne jest, że korzyści wynikające z chodzenia do szkoły przewyższą zagrożenia istniejące w przypadku tych dzieci.</w:t>
            </w:r>
            <w:r>
              <w:t xml:space="preserve"> </w:t>
            </w:r>
            <w:r>
              <w:t xml:space="preserve">Dzieci te powinny ściśle przestrzegać zaleceń służby zdrowia, w tym dystansu fizycznego i innych </w:t>
            </w:r>
            <w:r>
              <w:rPr>
                <w:rStyle w:val="Hyperlink"/>
              </w:rPr>
              <w:t xml:space="preserve">informacji </w:t>
            </w:r>
            <w:hyperlink r:id="rId6" w:history="1">
              <w:r>
                <w:rPr>
                  <w:rStyle w:val="Hyperlink"/>
                </w:rPr>
                <w:t xml:space="preserve">oraz wskazówek służby zdrowia</w:t>
              </w:r>
            </w:hyperlink>
            <w:r>
              <w:rPr>
                <w:rStyle w:val="Hyperlink"/>
              </w:rPr>
              <w:t xml:space="preserve">.</w:t>
            </w:r>
          </w:p>
          <w:p w14:paraId="6A157555" w14:textId="77777777" w:rsidR="009C7596" w:rsidRPr="00C6261A" w:rsidRDefault="009C7596" w:rsidP="009C7596">
            <w:r>
              <w:br/>
            </w:r>
            <w:r>
              <w:t xml:space="preserve">Rodzice, którzy uważają, że ich dziecko nie powinno wracać do szkoły, ponieważ znajdują się w grupie wyższego ryzyka, powinni porozmawiać ze swoim lekarzem pierwszego kontaktu lub dostawcy usług opieki zdrowotnej, aby uzyskać dalsze porady i zalecenia.</w:t>
            </w:r>
          </w:p>
        </w:tc>
      </w:tr>
      <w:tr w:rsidR="00E31E4C" w:rsidRPr="00C6261A" w14:paraId="0EF437EC" w14:textId="77777777" w:rsidTr="000461EE">
        <w:trPr>
          <w:trHeight w:val="487"/>
        </w:trPr>
        <w:tc>
          <w:tcPr>
            <w:tcW w:w="1833" w:type="dxa"/>
          </w:tcPr>
          <w:p w14:paraId="31138FED" w14:textId="77777777" w:rsidR="00E31E4C" w:rsidRPr="000030EB" w:rsidRDefault="00E31E4C" w:rsidP="00E31E4C">
            <w:pPr>
              <w:rPr>
                <w:b/>
              </w:rPr>
            </w:pPr>
            <w:r>
              <w:rPr>
                <w:b/>
              </w:rPr>
              <w:t xml:space="preserve">Firma i powrót do pracy</w:t>
            </w:r>
          </w:p>
          <w:p w14:paraId="56853C1B" w14:textId="77777777" w:rsidR="00E31E4C" w:rsidRPr="000030EB" w:rsidRDefault="00E31E4C" w:rsidP="00E31E4C">
            <w:pPr>
              <w:rPr>
                <w:b/>
              </w:rPr>
            </w:pPr>
          </w:p>
        </w:tc>
        <w:tc>
          <w:tcPr>
            <w:tcW w:w="5817" w:type="dxa"/>
          </w:tcPr>
          <w:p w14:paraId="505FBCD0" w14:textId="786522D4" w:rsidR="00E31E4C" w:rsidRPr="00686AC7" w:rsidRDefault="00E31E4C" w:rsidP="00E31E4C">
            <w:pPr>
              <w:pStyle w:val="xmsonormal"/>
            </w:pPr>
            <w:r>
              <w:rPr>
                <w:rFonts w:ascii="Calibri" w:hAnsi="Calibri"/>
              </w:rPr>
              <w:t xml:space="preserve">Mieszkańcy wyspy znajdujący się w grupie wysokiego ryzyka powinni nadal pracować w domu, o ile to możliwe.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Jeśli znajdujesz się w grupie wysokiego ryzyka, w przypadku takich osób </w:t>
            </w:r>
            <w:r>
              <w:rPr>
                <w:u w:val="single"/>
                <w:rFonts w:ascii="Calibri" w:hAnsi="Calibri"/>
              </w:rPr>
              <w:t xml:space="preserve">nie zaleca się obecnie chodzenia do pracy</w:t>
            </w:r>
            <w:r>
              <w:rPr>
                <w:rFonts w:ascii="Calibri" w:hAnsi="Calibri"/>
              </w:rPr>
              <w:t xml:space="preserve">, chyba że na przykład pracują same i nie muszą korzystać z transportu publicznego, aby dostać się do miejsca pracy.</w:t>
            </w:r>
          </w:p>
        </w:tc>
        <w:tc>
          <w:tcPr>
            <w:tcW w:w="6237" w:type="dxa"/>
          </w:tcPr>
          <w:p w14:paraId="03DB4BB6" w14:textId="24459E6B" w:rsidR="00E31E4C" w:rsidRPr="00C6261A" w:rsidRDefault="00686AC7" w:rsidP="00E31E4C">
            <w:pPr>
              <w:pStyle w:val="xmsonormal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Mieszkańcy wyspy znajdujący się w grupie umiarkowanego ryzyka powinni nadal pracować w domu, o ile to możliwe.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Jeśli znajdujesz się w grupie umiarkowanego ryzyka i nie masz możliwości pracy w domu, </w:t>
            </w:r>
            <w:r>
              <w:rPr>
                <w:u w:val="single"/>
                <w:rFonts w:ascii="Calibri" w:hAnsi="Calibri"/>
              </w:rPr>
              <w:t xml:space="preserve">możesz wrócić do pracy, jeśli uzgodnisz z pracodawcą, że możliwe jest przeprowadzenie tego w sposób bezpieczny.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31E4C" w:rsidRPr="00C6261A" w14:paraId="62035A69" w14:textId="77777777" w:rsidTr="000461EE">
        <w:trPr>
          <w:trHeight w:val="487"/>
        </w:trPr>
        <w:tc>
          <w:tcPr>
            <w:tcW w:w="1833" w:type="dxa"/>
          </w:tcPr>
          <w:p w14:paraId="4A12120E" w14:textId="180E8E46" w:rsidR="00E31E4C" w:rsidRPr="000030EB" w:rsidRDefault="00E31E4C" w:rsidP="009C7596">
            <w:pPr>
              <w:rPr>
                <w:b/>
              </w:rPr>
            </w:pPr>
            <w:r>
              <w:rPr>
                <w:b/>
              </w:rPr>
              <w:t xml:space="preserve">Zakupy, jedzenie w restauracjach i rozrywka</w:t>
            </w:r>
          </w:p>
        </w:tc>
        <w:tc>
          <w:tcPr>
            <w:tcW w:w="5817" w:type="dxa"/>
          </w:tcPr>
          <w:p w14:paraId="324B7B34" w14:textId="012F5395" w:rsidR="00F73A48" w:rsidRPr="00C6261A" w:rsidRDefault="00E31E4C" w:rsidP="00E31E4C">
            <w:r>
              <w:t xml:space="preserve">Mieszkańcy wyspy znajdujący się w grupie wysokiego ryzyka mogą uprawiać aktywności na zewnątrz, jednak zaleca się, aby </w:t>
            </w:r>
            <w:r>
              <w:rPr>
                <w:u w:val="single"/>
              </w:rPr>
              <w:t xml:space="preserve">unikali aktywności wewnątrz pomieszczeń, jeśli mają one miejsce poza ich domem.</w:t>
            </w:r>
            <w:r>
              <w:t xml:space="preserve"> </w:t>
            </w:r>
            <w:r>
              <w:t xml:space="preserve">Jednakże </w:t>
            </w:r>
            <w:r>
              <w:rPr>
                <w:u w:val="single"/>
              </w:rPr>
              <w:t xml:space="preserve">podjęcie decyzji jest kwestią prywatną</w:t>
            </w:r>
            <w:r>
              <w:t xml:space="preserve"> i konieczne jest zbilansowanie korzyści różnych aktywności w odniesieniu do ryzyka wiążącego się z każdą z nich.</w:t>
            </w:r>
          </w:p>
          <w:p w14:paraId="14C244BF" w14:textId="77777777" w:rsidR="00F73A48" w:rsidRPr="00C6261A" w:rsidRDefault="00F73A48" w:rsidP="00E31E4C"/>
          <w:p w14:paraId="7BD41878" w14:textId="6167B667" w:rsidR="00E31E4C" w:rsidRPr="00C6261A" w:rsidRDefault="00F73A48" w:rsidP="00E31E4C">
            <w:r>
              <w:t xml:space="preserve">Jeśli znajdujesz się w grupie ryzyka, możesz zdecydować się unikać zakupów i skorzystać z pomocy ConnectMe, odwiedzając stronę </w:t>
            </w:r>
            <w:hyperlink r:id="rId7" w:history="1">
              <w:r>
                <w:rPr>
                  <w:rStyle w:val="Hyperlink"/>
                </w:rPr>
                <w:t xml:space="preserve">www.gov.je/connectme</w:t>
              </w:r>
            </w:hyperlink>
            <w:r>
              <w:t xml:space="preserve"> lub dzwoniąc na infolinię dotyczącą koronawirusa od numer +44 (0) 1534 445566 w celu zorganizowania dostawy produktów spożywczych i innych niezbędnych artykułów</w:t>
            </w:r>
            <w:r>
              <w:t xml:space="preserve"> </w:t>
            </w:r>
            <w:r>
              <w:t xml:space="preserve">Będziesz również nadal móc otrzymywać dostawy leków, na które dostajesz recepty.</w:t>
            </w:r>
            <w:r>
              <w:br/>
            </w:r>
            <w:r>
              <w:br/>
            </w:r>
            <w:r>
              <w:t xml:space="preserve">Jeśli wychodzisz zrobić zakupy, uważnie przestrzegaj kluczowych</w:t>
            </w:r>
            <w:r>
              <w:rPr>
                <w:rStyle w:val="Hyperlink"/>
              </w:rPr>
              <w:t xml:space="preserve"> informacji </w:t>
            </w:r>
            <w:hyperlink r:id="rId8" w:history="1">
              <w:r>
                <w:rPr>
                  <w:rStyle w:val="Hyperlink"/>
                </w:rPr>
                <w:t xml:space="preserve">oraz wskazówek służby zdrowia</w:t>
              </w:r>
            </w:hyperlink>
            <w:r>
              <w:rPr>
                <w:rStyle w:val="Hyperlink"/>
              </w:rPr>
              <w:t xml:space="preserve">.</w:t>
            </w:r>
            <w:r>
              <w:rPr>
                <w:rStyle w:val="Hyperlink"/>
              </w:rPr>
              <w:t xml:space="preserve"> </w:t>
            </w:r>
            <w:r>
              <w:rPr>
                <w:rStyle w:val="Hyperlink"/>
                <w:color w:val="000000" w:themeColor="text1"/>
                <w:u w:val="none"/>
              </w:rPr>
              <w:t xml:space="preserve">Możesz </w:t>
            </w:r>
            <w:r>
              <w:rPr>
                <w:color w:val="000000" w:themeColor="text1"/>
              </w:rPr>
              <w:t xml:space="preserve">chcieć</w:t>
            </w:r>
            <w:r>
              <w:t xml:space="preserve"> to zrobić, gdy w sklepach jest spokojniej, lub iść na zakupy tam, gdzie Twoim zdaniem z pewnością możliwe będzie zachowanie dystansu fizycznego.</w:t>
            </w:r>
          </w:p>
          <w:p w14:paraId="12BB9F92" w14:textId="77777777" w:rsidR="00E31E4C" w:rsidRPr="00C6261A" w:rsidRDefault="00E31E4C" w:rsidP="00E31E4C"/>
          <w:p w14:paraId="42E54DC6" w14:textId="535B170A" w:rsidR="00F73A48" w:rsidRPr="00C6261A" w:rsidRDefault="00E31E4C" w:rsidP="00E31E4C">
            <w:r>
              <w:t xml:space="preserve">W przypadku jedzenia na mieście zaleca się jedzenie na zewnątrz, a nie wewnątrz restauracji.</w:t>
            </w:r>
          </w:p>
          <w:p w14:paraId="71E5856F" w14:textId="77777777" w:rsidR="00E31E4C" w:rsidRPr="00C6261A" w:rsidRDefault="00E31E4C" w:rsidP="009C7596">
            <w:pPr>
              <w:rPr>
                <w:bCs/>
              </w:rPr>
            </w:pPr>
          </w:p>
        </w:tc>
        <w:tc>
          <w:tcPr>
            <w:tcW w:w="6237" w:type="dxa"/>
          </w:tcPr>
          <w:p w14:paraId="0D3CF1BB" w14:textId="230A61F5" w:rsidR="00F73A48" w:rsidRPr="00C6261A" w:rsidRDefault="00FA0DC1" w:rsidP="00F73A48">
            <w:r>
              <w:t xml:space="preserve">Mieszkańcy wyspy znajdujący się w grupie umiarkowanego ryzyka mogą uprawiać aktywności zarówno na zewnątrz, jak i wewnątrz pomieszczeń poza swoim domem</w:t>
            </w:r>
            <w:r>
              <w:rPr>
                <w:u w:val="single"/>
              </w:rPr>
              <w:t xml:space="preserve">, jednak zaleca się, aby uważnie przestrzegali kluczowych</w:t>
            </w:r>
            <w:r>
              <w:rPr>
                <w:rStyle w:val="Hyperlink"/>
              </w:rPr>
              <w:t xml:space="preserve"> informacji</w:t>
            </w:r>
            <w:hyperlink r:id="rId9" w:history="1">
              <w:r>
                <w:rPr>
                  <w:rStyle w:val="Hyperlink"/>
                </w:rPr>
                <w:t xml:space="preserve"> oraz wskazówek służby zdrowia</w:t>
              </w:r>
            </w:hyperlink>
            <w:r>
              <w:t xml:space="preserve">, w szczególności podczas aktywności wewnątrz budynków.</w:t>
            </w:r>
            <w:r>
              <w:t xml:space="preserve"> </w:t>
            </w:r>
            <w:r>
              <w:br/>
            </w:r>
            <w:r>
              <w:br/>
            </w:r>
            <w:r>
              <w:t xml:space="preserve">Jeśli znajdujesz się w grupie umiarkowanego ryzyka, stanowczo zaleca się branie udziału wyłącznie w tych aktywnościach, co do których masz pewność, że można je uprawiać, przestrzegających tych zaleceń.</w:t>
            </w:r>
            <w:r>
              <w:t xml:space="preserve"> </w:t>
            </w:r>
            <w:r>
              <w:t xml:space="preserve">Na przykład możesz zdecydować się iść do sklepu, do restauracji czy zakładu fryzjerskiego, w których Twoim zdaniem z pewnością możliwe będzie zachowanie dystansu fizycznego oraz środków zalecanych przez służbę zdrowia.</w:t>
            </w:r>
            <w:r>
              <w:t xml:space="preserve"> </w:t>
            </w:r>
            <w:r>
              <w:t xml:space="preserve">Możesz także zdecydować się wykonywać te czynności rzadziej.</w:t>
            </w:r>
          </w:p>
          <w:p w14:paraId="761256E4" w14:textId="77777777" w:rsidR="00EF7E3F" w:rsidRDefault="00EF7E3F" w:rsidP="00EF7E3F">
            <w:pPr>
              <w:rPr>
                <w:bCs/>
              </w:rPr>
            </w:pPr>
          </w:p>
          <w:p w14:paraId="389C5F5E" w14:textId="77777777" w:rsidR="00E12697" w:rsidRPr="00C6261A" w:rsidRDefault="00E12697" w:rsidP="00EF7E3F">
            <w:pPr>
              <w:rPr>
                <w:bCs/>
              </w:rPr>
            </w:pPr>
            <w:r>
              <w:t xml:space="preserve">Możesz także zdecydować się dostosować swoją codzienną rutynę, jak na przykład chodzenie do sklepu w spokojniejszej porze lub jedzenie na zewnątrz pomieszczeń, jeśli wychodzisz coś zjeść.</w:t>
            </w:r>
          </w:p>
        </w:tc>
      </w:tr>
      <w:tr w:rsidR="009767B3" w:rsidRPr="00C6261A" w14:paraId="3271A04B" w14:textId="77777777" w:rsidTr="00E31E4C">
        <w:trPr>
          <w:trHeight w:val="469"/>
        </w:trPr>
        <w:tc>
          <w:tcPr>
            <w:tcW w:w="1833" w:type="dxa"/>
          </w:tcPr>
          <w:p w14:paraId="35B05000" w14:textId="77777777" w:rsidR="009767B3" w:rsidRPr="000030EB" w:rsidRDefault="009767B3" w:rsidP="009C7596">
            <w:pPr>
              <w:rPr>
                <w:b/>
              </w:rPr>
            </w:pPr>
            <w:r>
              <w:rPr>
                <w:b/>
              </w:rPr>
              <w:t xml:space="preserve">Podróżowanie</w:t>
            </w:r>
          </w:p>
        </w:tc>
        <w:tc>
          <w:tcPr>
            <w:tcW w:w="12054" w:type="dxa"/>
            <w:gridSpan w:val="2"/>
          </w:tcPr>
          <w:p w14:paraId="219910CE" w14:textId="2116F850" w:rsidR="00003769" w:rsidRDefault="00003769" w:rsidP="00003769">
            <w:r>
              <w:t xml:space="preserve">Zaleca się, aby mieszkańcy wyspy znajdujący się w grupie wysokiego i umiarkowanego ryzyka unikali transportu publicznego, chyba że jest konieczny, ponieważ może tam być trudniej zachować dystans fizyczny i unikać dotykania powierzchni, których dotykały także osoby, z którymi nie mieszkasz.</w:t>
            </w:r>
          </w:p>
          <w:p w14:paraId="082671FA" w14:textId="77777777" w:rsidR="00003769" w:rsidRDefault="00003769" w:rsidP="00003769"/>
          <w:p w14:paraId="45EF2DB5" w14:textId="77777777" w:rsidR="00003769" w:rsidRPr="00C6261A" w:rsidRDefault="00003769" w:rsidP="00003769">
            <w:r>
              <w:t xml:space="preserve">Jeśli korzystasz z transportu publicznego, noszenie maski pomoże zmniejszyć ryzyko.</w:t>
            </w:r>
          </w:p>
          <w:p w14:paraId="03B940D7" w14:textId="77777777" w:rsidR="00003769" w:rsidRPr="00C6261A" w:rsidRDefault="00003769" w:rsidP="00003769"/>
          <w:p w14:paraId="44EF7BEA" w14:textId="3FA5E987" w:rsidR="009767B3" w:rsidRPr="00C6261A" w:rsidRDefault="00003769" w:rsidP="00F31D38">
            <w:r>
              <w:t xml:space="preserve">Odradza się wspólne użytkowanie prywatnych pojazdów, chyba że z osobami, z którymi mieszkasz.</w:t>
            </w:r>
          </w:p>
        </w:tc>
      </w:tr>
      <w:tr w:rsidR="000030EB" w:rsidRPr="00C6261A" w14:paraId="08AE5664" w14:textId="77777777" w:rsidTr="00EA30BE">
        <w:trPr>
          <w:trHeight w:val="487"/>
        </w:trPr>
        <w:tc>
          <w:tcPr>
            <w:tcW w:w="1833" w:type="dxa"/>
          </w:tcPr>
          <w:p w14:paraId="4C1F2062" w14:textId="77777777" w:rsidR="000030EB" w:rsidRPr="000030EB" w:rsidRDefault="000030EB" w:rsidP="000030EB">
            <w:pPr>
              <w:rPr>
                <w:b/>
              </w:rPr>
            </w:pPr>
            <w:r>
              <w:rPr>
                <w:b/>
              </w:rPr>
              <w:t xml:space="preserve">Opieka zdrowotna i dentystyczna</w:t>
            </w:r>
          </w:p>
          <w:p w14:paraId="18A0EBB9" w14:textId="77777777" w:rsidR="000030EB" w:rsidRPr="000030EB" w:rsidRDefault="000030EB" w:rsidP="000030EB">
            <w:pPr>
              <w:rPr>
                <w:b/>
              </w:rPr>
            </w:pPr>
          </w:p>
        </w:tc>
        <w:tc>
          <w:tcPr>
            <w:tcW w:w="12054" w:type="dxa"/>
            <w:gridSpan w:val="2"/>
          </w:tcPr>
          <w:p w14:paraId="0D1F6690" w14:textId="1B238F8C" w:rsidR="000030EB" w:rsidRPr="00F31D38" w:rsidRDefault="00CF05FB" w:rsidP="000030EB">
            <w:pPr>
              <w:rPr>
                <w:bCs/>
              </w:rPr>
            </w:pPr>
            <w:r>
              <w:t xml:space="preserve">Mieszkańcy wyspy znajdujący się w grupie wysokiego i umiarkowanego ryzyka powinni zgłaszać się na wszelkie wizyty medyczne, które maja zaplanowane, i zasięgnąć porady medycznej oraz uzyskać wsparcie, jeśli to konieczne, niezależnie od tego, czy jest to związane z COVID-19 czy też nie.</w:t>
            </w:r>
            <w:r>
              <w:t xml:space="preserve"> </w:t>
            </w:r>
            <w:r>
              <w:t xml:space="preserve">Osoby znajdujące się w grupie zwiększonego ryzyka nie muszą się martwić o dodatkowe ryzyko związane z COVID-19, gdy przychodzą do szpitala i nie powinni rezygnować z leczenia.</w:t>
            </w:r>
          </w:p>
        </w:tc>
      </w:tr>
      <w:tr w:rsidR="000030EB" w:rsidRPr="00C6261A" w14:paraId="4A3FD057" w14:textId="77777777" w:rsidTr="00EA30BE">
        <w:trPr>
          <w:trHeight w:val="487"/>
        </w:trPr>
        <w:tc>
          <w:tcPr>
            <w:tcW w:w="1833" w:type="dxa"/>
          </w:tcPr>
          <w:p w14:paraId="2334F706" w14:textId="5017E480" w:rsidR="000030EB" w:rsidRPr="000030EB" w:rsidRDefault="000030EB" w:rsidP="000030EB">
            <w:pPr>
              <w:rPr>
                <w:b/>
              </w:rPr>
            </w:pPr>
            <w:r>
              <w:rPr>
                <w:b/>
              </w:rPr>
              <w:t xml:space="preserve">Goście i opiekunowie w domu</w:t>
            </w:r>
          </w:p>
        </w:tc>
        <w:tc>
          <w:tcPr>
            <w:tcW w:w="12054" w:type="dxa"/>
            <w:gridSpan w:val="2"/>
          </w:tcPr>
          <w:p w14:paraId="41F5599A" w14:textId="3CA854C2" w:rsidR="000030EB" w:rsidRPr="00C6261A" w:rsidRDefault="00CF05FB" w:rsidP="000030EB">
            <w:pPr>
              <w:pStyle w:val="xmsonormal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Mieszkańcom wyspy znajdującym się w grupie wysokiego i umiarkowanego ryzyka zaleca się nieprzyjmowanie obecnie gości w swoim domu, chyba że chodzi o niezbędną opiekę czy inne usługi.</w:t>
            </w:r>
          </w:p>
          <w:p w14:paraId="7C7B3A2A" w14:textId="77777777" w:rsidR="000030EB" w:rsidRPr="00C6261A" w:rsidRDefault="000030EB" w:rsidP="000030EB">
            <w:pPr>
              <w:pStyle w:val="xmsonormal"/>
              <w:rPr>
                <w:rFonts w:ascii="Calibri" w:hAnsi="Calibri" w:cs="Calibri"/>
              </w:rPr>
            </w:pPr>
          </w:p>
          <w:p w14:paraId="1E735991" w14:textId="194450D4" w:rsidR="000030EB" w:rsidRPr="00C6261A" w:rsidRDefault="000030EB" w:rsidP="000030EB">
            <w:pPr>
              <w:pStyle w:val="xmsonormal"/>
              <w:rPr>
                <w:rFonts w:ascii="Calibri" w:hAnsi="Calibri" w:cs="Calibri"/>
              </w:rPr>
            </w:pPr>
            <w:r>
              <w:rPr>
                <w:color w:val="212529"/>
                <w:rFonts w:ascii="proxima-nova" w:hAnsi="proxima-nova"/>
              </w:rPr>
              <w:t xml:space="preserve">Niezbędna opieka powinna być kontynuowana, a pracownicy ją sprawujący muszą ostrożnie przestrzegać kluczowych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/>
              </w:rPr>
              <w:t xml:space="preserve">informacji </w:t>
            </w:r>
            <w:hyperlink r:id="rId10" w:history="1">
              <w:r>
                <w:rPr>
                  <w:rStyle w:val="Hyperlink"/>
                  <w:rFonts w:asciiTheme="minorHAnsi" w:hAnsiTheme="minorHAnsi"/>
                </w:rPr>
                <w:t xml:space="preserve">oraz wskazówek służby zdrowia</w:t>
              </w:r>
            </w:hyperlink>
            <w:r>
              <w:rPr>
                <w:rStyle w:val="Hyperlink"/>
                <w:rFonts w:asciiTheme="minorHAnsi" w:hAnsiTheme="minorHAnsi"/>
              </w:rPr>
              <w:t xml:space="preserve">.</w:t>
            </w:r>
            <w:r>
              <w:rPr>
                <w:rStyle w:val="Hyperlink"/>
              </w:rPr>
              <w:t xml:space="preserve"> </w:t>
            </w:r>
            <w:r>
              <w:rPr>
                <w:color w:val="212529"/>
                <w:rFonts w:asciiTheme="minorHAnsi" w:hAnsiTheme="minorHAnsi"/>
              </w:rPr>
              <w:t xml:space="preserve">Opiekunowie powinni </w:t>
            </w:r>
            <w:r>
              <w:rPr>
                <w:color w:val="212529"/>
                <w:rFonts w:ascii="proxima-nova" w:hAnsi="proxima-nova"/>
              </w:rPr>
              <w:t xml:space="preserve">zrezygnować z przyjścia</w:t>
            </w:r>
            <w:r>
              <w:rPr>
                <w:color w:val="212529"/>
                <w:rFonts w:asciiTheme="minorHAnsi" w:hAnsiTheme="minorHAnsi"/>
              </w:rPr>
              <w:t xml:space="preserve">, jeśli mają jakiekolwiek </w:t>
            </w:r>
            <w:hyperlink r:id="rId11" w:history="1">
              <w:r>
                <w:rPr>
                  <w:rStyle w:val="Hyperlink"/>
                  <w:rFonts w:asciiTheme="minorHAnsi" w:hAnsiTheme="minorHAnsi"/>
                </w:rPr>
                <w:t xml:space="preserve">objawy COVID-19 (zarażenia koronawirusem)</w:t>
              </w:r>
            </w:hyperlink>
            <w:r>
              <w:rPr>
                <w:color w:val="212529"/>
                <w:rFonts w:asciiTheme="minorHAnsi" w:hAnsiTheme="minorHAnsi"/>
              </w:rPr>
              <w:t xml:space="preserve"> i upewnić się, że zostanie zapewniona alternatywna opieka.</w:t>
            </w:r>
          </w:p>
        </w:tc>
      </w:tr>
      <w:tr w:rsidR="00E31E4C" w:rsidRPr="00C6261A" w14:paraId="14DB637C" w14:textId="77777777" w:rsidTr="00EA30BE">
        <w:trPr>
          <w:trHeight w:val="487"/>
        </w:trPr>
        <w:tc>
          <w:tcPr>
            <w:tcW w:w="1833" w:type="dxa"/>
          </w:tcPr>
          <w:p w14:paraId="0D286A15" w14:textId="77777777" w:rsidR="00E31E4C" w:rsidRPr="000030EB" w:rsidRDefault="00E31E4C" w:rsidP="00E31E4C">
            <w:pPr>
              <w:rPr>
                <w:b/>
              </w:rPr>
            </w:pPr>
            <w:r>
              <w:rPr>
                <w:b/>
              </w:rPr>
              <w:t xml:space="preserve">Zgromadzenia</w:t>
            </w:r>
          </w:p>
        </w:tc>
        <w:tc>
          <w:tcPr>
            <w:tcW w:w="12054" w:type="dxa"/>
            <w:gridSpan w:val="2"/>
          </w:tcPr>
          <w:p w14:paraId="627A5E40" w14:textId="77777777" w:rsidR="00E31E4C" w:rsidRPr="00C6261A" w:rsidRDefault="000030EB" w:rsidP="00E31E4C">
            <w:r>
              <w:t xml:space="preserve">Osoby znajdujące się w grupie wysokiego umiarkowanego ryzyka powinny postarać się, aby liczba osób, z którymi mają kontakt, a które z nimi nie mieszkają, była jak najmniejsza, i unikać sytuacji, w których nie będzie możliwe zachowanie dystansu fizycznego.</w:t>
            </w:r>
            <w:r>
              <w:t xml:space="preserve"> </w:t>
            </w:r>
            <w:r>
              <w:t xml:space="preserve">Powinno się unikać zgromadzeń duży grup osób i takich, które odbywają się wewnątrz pomieszczeń.</w:t>
            </w:r>
          </w:p>
          <w:p w14:paraId="0B7EA70D" w14:textId="77777777" w:rsidR="00E31E4C" w:rsidRPr="00C6261A" w:rsidRDefault="00E31E4C" w:rsidP="00E31E4C"/>
        </w:tc>
      </w:tr>
    </w:tbl>
    <w:p w14:paraId="3F8443A5" w14:textId="77777777" w:rsidR="00F056CC" w:rsidRPr="00C6261A" w:rsidRDefault="00F056CC" w:rsidP="00530224"/>
    <w:p w14:paraId="5023E23D" w14:textId="77777777" w:rsidR="006757D5" w:rsidRPr="00C6261A" w:rsidRDefault="006757D5" w:rsidP="00530224"/>
    <w:p w14:paraId="0BAB1B13" w14:textId="77777777" w:rsidR="00530224" w:rsidRPr="00C6261A" w:rsidRDefault="00530224" w:rsidP="00530224"/>
    <w:sectPr w:rsidR="00530224" w:rsidRPr="00C6261A" w:rsidSect="00F31D3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5080"/>
    <w:multiLevelType w:val="hybridMultilevel"/>
    <w:tmpl w:val="DEB67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C0A"/>
    <w:multiLevelType w:val="hybridMultilevel"/>
    <w:tmpl w:val="0C707CA0"/>
    <w:lvl w:ilvl="0" w:tplc="4B80D2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82D83"/>
    <w:multiLevelType w:val="hybridMultilevel"/>
    <w:tmpl w:val="5662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C08"/>
    <w:multiLevelType w:val="hybridMultilevel"/>
    <w:tmpl w:val="1BFC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DB8"/>
    <w:multiLevelType w:val="hybridMultilevel"/>
    <w:tmpl w:val="8068826E"/>
    <w:lvl w:ilvl="0" w:tplc="3E243D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51"/>
    <w:rsid w:val="000030EB"/>
    <w:rsid w:val="00003769"/>
    <w:rsid w:val="000461EE"/>
    <w:rsid w:val="000544FC"/>
    <w:rsid w:val="00055EAB"/>
    <w:rsid w:val="000E1CAA"/>
    <w:rsid w:val="000E1D6F"/>
    <w:rsid w:val="000E5AFA"/>
    <w:rsid w:val="00133886"/>
    <w:rsid w:val="001A00F3"/>
    <w:rsid w:val="001A1416"/>
    <w:rsid w:val="001E09BD"/>
    <w:rsid w:val="001F7F29"/>
    <w:rsid w:val="00277B9F"/>
    <w:rsid w:val="002868C4"/>
    <w:rsid w:val="002A190C"/>
    <w:rsid w:val="002C5200"/>
    <w:rsid w:val="002C7F42"/>
    <w:rsid w:val="0030791E"/>
    <w:rsid w:val="00333AF7"/>
    <w:rsid w:val="00392AA2"/>
    <w:rsid w:val="003A2A74"/>
    <w:rsid w:val="0040425A"/>
    <w:rsid w:val="00411713"/>
    <w:rsid w:val="004214F0"/>
    <w:rsid w:val="00431819"/>
    <w:rsid w:val="004331B0"/>
    <w:rsid w:val="0045414C"/>
    <w:rsid w:val="00471CE5"/>
    <w:rsid w:val="00493804"/>
    <w:rsid w:val="004B3745"/>
    <w:rsid w:val="004F06BA"/>
    <w:rsid w:val="0050792A"/>
    <w:rsid w:val="00530224"/>
    <w:rsid w:val="0058500B"/>
    <w:rsid w:val="00587C99"/>
    <w:rsid w:val="005A5398"/>
    <w:rsid w:val="005C43B0"/>
    <w:rsid w:val="005F081A"/>
    <w:rsid w:val="00604729"/>
    <w:rsid w:val="00621304"/>
    <w:rsid w:val="00666BD7"/>
    <w:rsid w:val="006757D5"/>
    <w:rsid w:val="0068584E"/>
    <w:rsid w:val="00686AC7"/>
    <w:rsid w:val="006B6177"/>
    <w:rsid w:val="006E5198"/>
    <w:rsid w:val="00700F53"/>
    <w:rsid w:val="00712D78"/>
    <w:rsid w:val="007170F2"/>
    <w:rsid w:val="0072203F"/>
    <w:rsid w:val="00727936"/>
    <w:rsid w:val="00741633"/>
    <w:rsid w:val="00787E0C"/>
    <w:rsid w:val="007A2132"/>
    <w:rsid w:val="007F62FC"/>
    <w:rsid w:val="00803ED7"/>
    <w:rsid w:val="008603FB"/>
    <w:rsid w:val="008A145A"/>
    <w:rsid w:val="008E35E0"/>
    <w:rsid w:val="008F094E"/>
    <w:rsid w:val="00930F08"/>
    <w:rsid w:val="009767B3"/>
    <w:rsid w:val="009C7596"/>
    <w:rsid w:val="009E40C3"/>
    <w:rsid w:val="009E67AC"/>
    <w:rsid w:val="00A23D44"/>
    <w:rsid w:val="00A62D8F"/>
    <w:rsid w:val="00A749F0"/>
    <w:rsid w:val="00B31089"/>
    <w:rsid w:val="00B43F07"/>
    <w:rsid w:val="00B51327"/>
    <w:rsid w:val="00B6327A"/>
    <w:rsid w:val="00B65309"/>
    <w:rsid w:val="00B77AA5"/>
    <w:rsid w:val="00BF5F7C"/>
    <w:rsid w:val="00C024E0"/>
    <w:rsid w:val="00C063FD"/>
    <w:rsid w:val="00C21FD8"/>
    <w:rsid w:val="00C50C8E"/>
    <w:rsid w:val="00C53D01"/>
    <w:rsid w:val="00C6261A"/>
    <w:rsid w:val="00C74071"/>
    <w:rsid w:val="00C9575F"/>
    <w:rsid w:val="00CA7996"/>
    <w:rsid w:val="00CF05FB"/>
    <w:rsid w:val="00D34750"/>
    <w:rsid w:val="00D35E9F"/>
    <w:rsid w:val="00D545E5"/>
    <w:rsid w:val="00D67C5D"/>
    <w:rsid w:val="00DE1A6A"/>
    <w:rsid w:val="00E03AD8"/>
    <w:rsid w:val="00E11451"/>
    <w:rsid w:val="00E12697"/>
    <w:rsid w:val="00E31E4C"/>
    <w:rsid w:val="00EC7423"/>
    <w:rsid w:val="00EF7E3F"/>
    <w:rsid w:val="00F056CC"/>
    <w:rsid w:val="00F31D38"/>
    <w:rsid w:val="00F37D12"/>
    <w:rsid w:val="00F54CF7"/>
    <w:rsid w:val="00F73A48"/>
    <w:rsid w:val="00FA0DC1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87B0"/>
  <w15:chartTrackingRefBased/>
  <w15:docId w15:val="{C63E4DE6-809F-46CE-A175-EDD19E86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51"/>
    <w:pPr>
      <w:ind w:left="720"/>
      <w:contextualSpacing/>
    </w:pPr>
  </w:style>
  <w:style w:type="table" w:styleId="TableGrid">
    <w:name w:val="Table Grid"/>
    <w:basedOn w:val="TableNormal"/>
    <w:uiPriority w:val="39"/>
    <w:rsid w:val="00D3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AC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7170F2"/>
    <w:pPr>
      <w:autoSpaceDE w:val="0"/>
      <w:autoSpaceDN w:val="0"/>
      <w:spacing w:after="0" w:line="240" w:lineRule="auto"/>
    </w:pPr>
    <w:rPr>
      <w:rFonts w:ascii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0E1D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gov.je/Health/Coronavirus/PublicHealthGuidance/Pages/CoronavirusInformatio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://www.gov.je/connectme&amp;data=02|01||4075c5fa36cb46f9ba0a08d811392907|2b5615117ddf495c8164f56ae776c54a|0|0|637278284477421618&amp;sdata=PYEcKeFngxxngBfNW6bHyN0fmDnwCkLS7hfNxG+Vzn0=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je/Health/Coronavirus/PublicHealthGuidance/Pages/CoronavirusInformation.aspx" TargetMode="External"/><Relationship Id="rId11" Type="http://schemas.openxmlformats.org/officeDocument/2006/relationships/hyperlink" Target="https://www.gov.je/Health/Coronavirus/PublicHealthGuidance/Pages/CoronavirusInformation.aspx" TargetMode="External"/><Relationship Id="rId5" Type="http://schemas.openxmlformats.org/officeDocument/2006/relationships/hyperlink" Target="https://www.gov.je/Health/Coronavirus/PublicHealthGuidance/Pages/CoronavirusInformation.aspx" TargetMode="External"/><Relationship Id="rId10" Type="http://schemas.openxmlformats.org/officeDocument/2006/relationships/hyperlink" Target="https://www.gov.je/Health/Coronavirus/PublicHealthGuidance/Pages/CoronavirusInform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je/Health/Coronavirus/PublicHealthGuidance/Pages/CoronavirusInform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2020-06-16T14:30:00Z</dcterms:created>
  <dcterms:modified xsi:type="dcterms:W3CDTF">2020-06-16T19:29:00Z</dcterms:modified>
</cp:coreProperties>
</file>